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C7" w:rsidRPr="00571EC7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2C24B2">
        <w:rPr>
          <w:rFonts w:asciiTheme="majorHAnsi" w:hAnsiTheme="majorHAnsi" w:cs="Arial"/>
          <w:i/>
          <w:sz w:val="28"/>
          <w:szCs w:val="28"/>
          <w:u w:val="single"/>
        </w:rPr>
        <w:t xml:space="preserve">Даша </w:t>
      </w:r>
      <w:proofErr w:type="spellStart"/>
      <w:r w:rsidRPr="002C24B2">
        <w:rPr>
          <w:rFonts w:asciiTheme="majorHAnsi" w:hAnsiTheme="majorHAnsi" w:cs="Arial"/>
          <w:i/>
          <w:sz w:val="28"/>
          <w:szCs w:val="28"/>
          <w:u w:val="single"/>
        </w:rPr>
        <w:t>Кирчак</w:t>
      </w:r>
      <w:proofErr w:type="spellEnd"/>
      <w:r>
        <w:rPr>
          <w:rFonts w:asciiTheme="majorHAnsi" w:hAnsiTheme="majorHAnsi" w:cs="Arial"/>
          <w:sz w:val="28"/>
          <w:szCs w:val="28"/>
        </w:rPr>
        <w:br/>
      </w:r>
      <w:r w:rsidR="00571EC7">
        <w:rPr>
          <w:rFonts w:asciiTheme="majorHAnsi" w:hAnsiTheme="majorHAnsi" w:cs="Arial"/>
          <w:sz w:val="28"/>
          <w:szCs w:val="28"/>
        </w:rPr>
        <w:t>1.</w:t>
      </w:r>
      <w:r w:rsidR="00571EC7">
        <w:rPr>
          <w:rFonts w:asciiTheme="majorHAnsi" w:hAnsiTheme="majorHAnsi" w:cs="Arial"/>
          <w:sz w:val="28"/>
          <w:szCs w:val="28"/>
        </w:rPr>
        <w:br/>
      </w:r>
      <w:r w:rsidR="00571EC7" w:rsidRPr="00571EC7">
        <w:rPr>
          <w:rFonts w:asciiTheme="majorHAnsi" w:hAnsiTheme="majorHAnsi" w:cs="Arial"/>
          <w:sz w:val="28"/>
          <w:szCs w:val="28"/>
        </w:rPr>
        <w:t xml:space="preserve">Предгорный район образован 23 ноября 1959 года Указом Президиума Верховного Совета РСФСР. Район расположен в юго-западной части Ставропольского края. По внешнему периметру, территориально граничит с Андроповским, Георгиевским, Кировским и Минераловодским районами Ставропольского края, </w:t>
      </w:r>
      <w:proofErr w:type="spellStart"/>
      <w:r w:rsidR="00571EC7" w:rsidRPr="00571EC7">
        <w:rPr>
          <w:rFonts w:asciiTheme="majorHAnsi" w:hAnsiTheme="majorHAnsi" w:cs="Arial"/>
          <w:sz w:val="28"/>
          <w:szCs w:val="28"/>
        </w:rPr>
        <w:t>Зольским</w:t>
      </w:r>
      <w:proofErr w:type="spellEnd"/>
      <w:r w:rsidR="00571EC7" w:rsidRPr="00571EC7">
        <w:rPr>
          <w:rFonts w:asciiTheme="majorHAnsi" w:hAnsiTheme="majorHAnsi" w:cs="Arial"/>
          <w:sz w:val="28"/>
          <w:szCs w:val="28"/>
        </w:rPr>
        <w:t xml:space="preserve"> районом Кабардино-Балкарской Республики, </w:t>
      </w:r>
      <w:proofErr w:type="spellStart"/>
      <w:r w:rsidR="00571EC7" w:rsidRPr="00571EC7">
        <w:rPr>
          <w:rFonts w:asciiTheme="majorHAnsi" w:hAnsiTheme="majorHAnsi" w:cs="Arial"/>
          <w:sz w:val="28"/>
          <w:szCs w:val="28"/>
        </w:rPr>
        <w:t>Малокарачаевским</w:t>
      </w:r>
      <w:proofErr w:type="spellEnd"/>
      <w:r w:rsidR="00571EC7" w:rsidRPr="00571EC7">
        <w:rPr>
          <w:rFonts w:asciiTheme="majorHAnsi" w:hAnsiTheme="majorHAnsi" w:cs="Arial"/>
          <w:sz w:val="28"/>
          <w:szCs w:val="28"/>
        </w:rPr>
        <w:t xml:space="preserve">, </w:t>
      </w:r>
      <w:proofErr w:type="spellStart"/>
      <w:r w:rsidR="00571EC7" w:rsidRPr="00571EC7">
        <w:rPr>
          <w:rFonts w:asciiTheme="majorHAnsi" w:hAnsiTheme="majorHAnsi" w:cs="Arial"/>
          <w:sz w:val="28"/>
          <w:szCs w:val="28"/>
        </w:rPr>
        <w:t>Прикубанским</w:t>
      </w:r>
      <w:proofErr w:type="spellEnd"/>
      <w:r w:rsidR="00571EC7" w:rsidRPr="00571EC7">
        <w:rPr>
          <w:rFonts w:asciiTheme="majorHAnsi" w:hAnsiTheme="majorHAnsi" w:cs="Arial"/>
          <w:sz w:val="28"/>
          <w:szCs w:val="28"/>
        </w:rPr>
        <w:t xml:space="preserve"> и </w:t>
      </w:r>
      <w:proofErr w:type="spellStart"/>
      <w:r w:rsidR="00571EC7" w:rsidRPr="00571EC7">
        <w:rPr>
          <w:rFonts w:asciiTheme="majorHAnsi" w:hAnsiTheme="majorHAnsi" w:cs="Arial"/>
          <w:sz w:val="28"/>
          <w:szCs w:val="28"/>
        </w:rPr>
        <w:t>Усть-Джегутинским</w:t>
      </w:r>
      <w:proofErr w:type="spellEnd"/>
      <w:r w:rsidR="00571EC7" w:rsidRPr="00571EC7">
        <w:rPr>
          <w:rFonts w:asciiTheme="majorHAnsi" w:hAnsiTheme="majorHAnsi" w:cs="Arial"/>
          <w:sz w:val="28"/>
          <w:szCs w:val="28"/>
        </w:rPr>
        <w:t xml:space="preserve"> районами Карачаево-Черкесской Республики. Большая часть территории района располагается в лесостепной зоне с умеренно-континентальным климатом. Продолжительность безморозного периода составляет 170 - 190 дней.</w:t>
      </w:r>
    </w:p>
    <w:p w:rsidR="00571EC7" w:rsidRPr="00571EC7" w:rsidRDefault="00571EC7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571EC7">
        <w:rPr>
          <w:rFonts w:asciiTheme="majorHAnsi" w:hAnsiTheme="majorHAnsi" w:cs="Arial"/>
          <w:sz w:val="28"/>
          <w:szCs w:val="28"/>
        </w:rPr>
        <w:t xml:space="preserve">Общая площадь территории района - 2072,6 </w:t>
      </w:r>
      <w:proofErr w:type="spellStart"/>
      <w:r w:rsidRPr="00571EC7">
        <w:rPr>
          <w:rFonts w:asciiTheme="majorHAnsi" w:hAnsiTheme="majorHAnsi" w:cs="Arial"/>
          <w:sz w:val="28"/>
          <w:szCs w:val="28"/>
        </w:rPr>
        <w:t>кв.км</w:t>
      </w:r>
      <w:proofErr w:type="spellEnd"/>
      <w:r w:rsidRPr="00571EC7">
        <w:rPr>
          <w:rFonts w:asciiTheme="majorHAnsi" w:hAnsiTheme="majorHAnsi" w:cs="Arial"/>
          <w:sz w:val="28"/>
          <w:szCs w:val="28"/>
        </w:rPr>
        <w:t>. Протяженность с севера на юг - 54 км</w:t>
      </w:r>
      <w:proofErr w:type="gramStart"/>
      <w:r w:rsidRPr="00571EC7">
        <w:rPr>
          <w:rFonts w:asciiTheme="majorHAnsi" w:hAnsiTheme="majorHAnsi" w:cs="Arial"/>
          <w:sz w:val="28"/>
          <w:szCs w:val="28"/>
        </w:rPr>
        <w:t xml:space="preserve">., </w:t>
      </w:r>
      <w:proofErr w:type="gramEnd"/>
      <w:r w:rsidRPr="00571EC7">
        <w:rPr>
          <w:rFonts w:asciiTheme="majorHAnsi" w:hAnsiTheme="majorHAnsi" w:cs="Arial"/>
          <w:sz w:val="28"/>
          <w:szCs w:val="28"/>
        </w:rPr>
        <w:t xml:space="preserve">с запада на восток - 84 км. Площадь сельхозугодий - 191,7 </w:t>
      </w:r>
      <w:proofErr w:type="spellStart"/>
      <w:r w:rsidRPr="00571EC7">
        <w:rPr>
          <w:rFonts w:asciiTheme="majorHAnsi" w:hAnsiTheme="majorHAnsi" w:cs="Arial"/>
          <w:sz w:val="28"/>
          <w:szCs w:val="28"/>
        </w:rPr>
        <w:t>тыс.га</w:t>
      </w:r>
      <w:proofErr w:type="spellEnd"/>
      <w:proofErr w:type="gramStart"/>
      <w:r w:rsidRPr="00571EC7">
        <w:rPr>
          <w:rFonts w:asciiTheme="majorHAnsi" w:hAnsiTheme="majorHAnsi" w:cs="Arial"/>
          <w:sz w:val="28"/>
          <w:szCs w:val="28"/>
        </w:rPr>
        <w:t xml:space="preserve">., </w:t>
      </w:r>
      <w:proofErr w:type="gramEnd"/>
      <w:r w:rsidRPr="00571EC7">
        <w:rPr>
          <w:rFonts w:asciiTheme="majorHAnsi" w:hAnsiTheme="majorHAnsi" w:cs="Arial"/>
          <w:sz w:val="28"/>
          <w:szCs w:val="28"/>
        </w:rPr>
        <w:t xml:space="preserve">в том числе пашни 106,9 тыс. га. Численность населения: 106,1 тыс. чел. Районный центр Предгорного района - станица </w:t>
      </w:r>
      <w:proofErr w:type="spellStart"/>
      <w:r w:rsidRPr="00571EC7">
        <w:rPr>
          <w:rFonts w:asciiTheme="majorHAnsi" w:hAnsiTheme="majorHAnsi" w:cs="Arial"/>
          <w:sz w:val="28"/>
          <w:szCs w:val="28"/>
        </w:rPr>
        <w:t>Ессентукская</w:t>
      </w:r>
      <w:proofErr w:type="spellEnd"/>
      <w:r w:rsidRPr="00571EC7">
        <w:rPr>
          <w:rFonts w:asciiTheme="majorHAnsi" w:hAnsiTheme="majorHAnsi" w:cs="Arial"/>
          <w:sz w:val="28"/>
          <w:szCs w:val="28"/>
        </w:rPr>
        <w:t xml:space="preserve">, расположена в центральной части района в 210 км от краевого центра. Наиболее удаленные от райцентра сельские поселения это: станица </w:t>
      </w:r>
      <w:proofErr w:type="spellStart"/>
      <w:r w:rsidRPr="00571EC7">
        <w:rPr>
          <w:rFonts w:asciiTheme="majorHAnsi" w:hAnsiTheme="majorHAnsi" w:cs="Arial"/>
          <w:sz w:val="28"/>
          <w:szCs w:val="28"/>
        </w:rPr>
        <w:t>Бекешевская</w:t>
      </w:r>
      <w:proofErr w:type="spellEnd"/>
      <w:r w:rsidRPr="00571EC7">
        <w:rPr>
          <w:rFonts w:asciiTheme="majorHAnsi" w:hAnsiTheme="majorHAnsi" w:cs="Arial"/>
          <w:sz w:val="28"/>
          <w:szCs w:val="28"/>
        </w:rPr>
        <w:t xml:space="preserve"> - 45 км и Пятигорский сельсовет - 47 км.</w:t>
      </w:r>
    </w:p>
    <w:p w:rsid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i/>
          <w:sz w:val="28"/>
          <w:szCs w:val="28"/>
          <w:u w:val="single"/>
        </w:rPr>
      </w:pPr>
    </w:p>
    <w:p w:rsidR="00571EC7" w:rsidRPr="00571EC7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2C24B2">
        <w:rPr>
          <w:rFonts w:asciiTheme="majorHAnsi" w:hAnsiTheme="majorHAnsi" w:cs="Arial"/>
          <w:i/>
          <w:sz w:val="28"/>
          <w:szCs w:val="28"/>
          <w:u w:val="single"/>
        </w:rPr>
        <w:t>Кучеренко Дима</w:t>
      </w:r>
      <w:r>
        <w:rPr>
          <w:rFonts w:asciiTheme="majorHAnsi" w:hAnsiTheme="majorHAnsi" w:cs="Arial"/>
          <w:sz w:val="28"/>
          <w:szCs w:val="28"/>
        </w:rPr>
        <w:br/>
      </w:r>
      <w:r w:rsidR="00571EC7">
        <w:rPr>
          <w:rFonts w:asciiTheme="majorHAnsi" w:hAnsiTheme="majorHAnsi" w:cs="Arial"/>
          <w:sz w:val="28"/>
          <w:szCs w:val="28"/>
        </w:rPr>
        <w:t>2.</w:t>
      </w:r>
      <w:r w:rsidR="00571EC7">
        <w:rPr>
          <w:rFonts w:asciiTheme="majorHAnsi" w:hAnsiTheme="majorHAnsi" w:cs="Arial"/>
          <w:sz w:val="28"/>
          <w:szCs w:val="28"/>
        </w:rPr>
        <w:br/>
      </w:r>
      <w:r w:rsidR="00571EC7" w:rsidRPr="00571EC7">
        <w:rPr>
          <w:rFonts w:asciiTheme="majorHAnsi" w:hAnsiTheme="majorHAnsi" w:cs="Arial"/>
          <w:sz w:val="28"/>
          <w:szCs w:val="28"/>
        </w:rPr>
        <w:t>На территории Предгорного района располагаются все города-курорты Кавказских Минеральных Вод: Ессентуки, Железноводск, Кисловодск и Пятигорск, а также город Лермонтов. Такое расположение городов-курортов непосредственно оказывает влияние на жизнедеятельность населения в районе. Всего в районе 45 населенных пунктов (4 станицы, 7 сел, 22 поселка, 12 хуторов). Они объединены в 15 муниципальных образований.</w:t>
      </w:r>
      <w:r w:rsidR="00571EC7" w:rsidRPr="00571EC7">
        <w:rPr>
          <w:rFonts w:asciiTheme="majorHAnsi" w:hAnsiTheme="majorHAnsi" w:cs="Arial"/>
          <w:sz w:val="28"/>
          <w:szCs w:val="28"/>
        </w:rPr>
        <w:br/>
        <w:t>Сельское хозяйство — главная отрасль экономики Предгорного района. Всего 39 сельскохозяйственных предприятий.</w:t>
      </w:r>
    </w:p>
    <w:p w:rsidR="00571EC7" w:rsidRPr="00571EC7" w:rsidRDefault="00571EC7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  <w:r w:rsidRPr="00571EC7">
        <w:rPr>
          <w:rFonts w:asciiTheme="majorHAnsi" w:hAnsiTheme="majorHAnsi" w:cs="Arial"/>
          <w:sz w:val="28"/>
          <w:szCs w:val="28"/>
        </w:rPr>
        <w:t>Основным направлением развития животноводства в районе является молочное скотоводство и птицеводство. Вспомогательные отрасли — свиноводство, овцеводство и пчеловодство. Основные социально-экономические показатели развития Предгорного района характеризуются стабильными темпами роста объемов производства продукции сельского хозяйства, розничной торговли и общественного питания.</w:t>
      </w:r>
    </w:p>
    <w:p w:rsidR="00571EC7" w:rsidRDefault="00571EC7" w:rsidP="00571EC7">
      <w:pPr>
        <w:rPr>
          <w:rFonts w:asciiTheme="majorHAnsi" w:hAnsiTheme="majorHAnsi"/>
          <w:b/>
          <w:sz w:val="28"/>
          <w:szCs w:val="28"/>
        </w:rPr>
      </w:pPr>
    </w:p>
    <w:p w:rsidR="00571EC7" w:rsidRDefault="00571EC7" w:rsidP="00571EC7">
      <w:pPr>
        <w:rPr>
          <w:rFonts w:asciiTheme="majorHAnsi" w:hAnsiTheme="majorHAnsi"/>
          <w:b/>
          <w:sz w:val="28"/>
          <w:szCs w:val="28"/>
        </w:rPr>
      </w:pPr>
    </w:p>
    <w:p w:rsidR="002C24B2" w:rsidRDefault="002C24B2" w:rsidP="00571EC7">
      <w:pPr>
        <w:rPr>
          <w:rFonts w:asciiTheme="majorHAnsi" w:hAnsiTheme="majorHAnsi"/>
          <w:b/>
          <w:sz w:val="28"/>
          <w:szCs w:val="28"/>
        </w:rPr>
      </w:pPr>
    </w:p>
    <w:p w:rsidR="002C24B2" w:rsidRPr="002C24B2" w:rsidRDefault="002C24B2" w:rsidP="00571EC7">
      <w:pPr>
        <w:spacing w:after="120"/>
        <w:rPr>
          <w:rFonts w:asciiTheme="majorHAnsi" w:hAnsiTheme="majorHAnsi"/>
          <w:i/>
          <w:sz w:val="28"/>
          <w:szCs w:val="28"/>
          <w:u w:val="single"/>
        </w:rPr>
      </w:pPr>
      <w:r w:rsidRPr="002C24B2">
        <w:rPr>
          <w:rFonts w:asciiTheme="majorHAnsi" w:hAnsiTheme="majorHAnsi"/>
          <w:i/>
          <w:sz w:val="28"/>
          <w:szCs w:val="28"/>
          <w:u w:val="single"/>
        </w:rPr>
        <w:lastRenderedPageBreak/>
        <w:t>Артем Левочкин</w:t>
      </w:r>
    </w:p>
    <w:p w:rsidR="00571EC7" w:rsidRPr="002C24B2" w:rsidRDefault="00571EC7" w:rsidP="00571EC7">
      <w:pPr>
        <w:spacing w:after="120"/>
        <w:rPr>
          <w:rFonts w:asciiTheme="majorHAnsi" w:hAnsiTheme="majorHAnsi"/>
          <w:b/>
          <w:sz w:val="32"/>
          <w:szCs w:val="28"/>
        </w:rPr>
      </w:pPr>
      <w:r w:rsidRPr="002C24B2">
        <w:rPr>
          <w:rFonts w:asciiTheme="majorHAnsi" w:hAnsiTheme="majorHAnsi"/>
          <w:b/>
          <w:sz w:val="32"/>
          <w:szCs w:val="28"/>
        </w:rPr>
        <w:t>Символика</w:t>
      </w:r>
    </w:p>
    <w:p w:rsidR="00571EC7" w:rsidRPr="002C24B2" w:rsidRDefault="00571EC7" w:rsidP="00571EC7">
      <w:pPr>
        <w:spacing w:after="12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>Официальными символами Предгорного района как муниципального образования служат герб и флаг, утверждённые решением Совета Предгорного муниципального района Ставропольского края от 22 декабря 2017 года № 12 и подлежащие внесению в Государственный геральдически</w:t>
      </w:r>
      <w:r w:rsidRPr="002C24B2">
        <w:rPr>
          <w:rFonts w:asciiTheme="majorHAnsi" w:hAnsiTheme="majorHAnsi"/>
          <w:sz w:val="32"/>
          <w:szCs w:val="28"/>
        </w:rPr>
        <w:t>й регистр Российской Федерации.</w:t>
      </w:r>
    </w:p>
    <w:p w:rsidR="00571EC7" w:rsidRPr="002C24B2" w:rsidRDefault="00571EC7" w:rsidP="00571EC7">
      <w:pPr>
        <w:spacing w:after="120"/>
        <w:rPr>
          <w:rFonts w:asciiTheme="majorHAnsi" w:hAnsiTheme="majorHAnsi"/>
          <w:i/>
          <w:sz w:val="32"/>
          <w:szCs w:val="28"/>
        </w:rPr>
      </w:pPr>
      <w:r w:rsidRPr="002C24B2">
        <w:rPr>
          <w:rFonts w:asciiTheme="majorHAnsi" w:hAnsiTheme="majorHAnsi"/>
          <w:i/>
          <w:sz w:val="32"/>
          <w:szCs w:val="28"/>
        </w:rPr>
        <w:t>Герб Предгорного муниципального района</w:t>
      </w:r>
    </w:p>
    <w:p w:rsidR="00571EC7" w:rsidRPr="002C24B2" w:rsidRDefault="00571EC7" w:rsidP="00571EC7">
      <w:pPr>
        <w:spacing w:after="12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 xml:space="preserve">Геральдическое описание герба муниципального образования гласит: «В пересечённом на серебро и </w:t>
      </w:r>
      <w:proofErr w:type="spellStart"/>
      <w:r w:rsidRPr="002C24B2">
        <w:rPr>
          <w:rFonts w:asciiTheme="majorHAnsi" w:hAnsiTheme="majorHAnsi"/>
          <w:sz w:val="32"/>
          <w:szCs w:val="28"/>
        </w:rPr>
        <w:t>червлень</w:t>
      </w:r>
      <w:proofErr w:type="spellEnd"/>
      <w:r w:rsidRPr="002C24B2">
        <w:rPr>
          <w:rFonts w:asciiTheme="majorHAnsi" w:hAnsiTheme="majorHAnsi"/>
          <w:sz w:val="32"/>
          <w:szCs w:val="28"/>
        </w:rPr>
        <w:t xml:space="preserve"> щите лазоревая острозубчатая глава. Ниже линии деления — три золотых пшеничных колоса о пяти головках каждый. Поверх всего — две чёрные, с золотым убором казачьи шашки в н</w:t>
      </w:r>
      <w:r w:rsidRPr="002C24B2">
        <w:rPr>
          <w:rFonts w:asciiTheme="majorHAnsi" w:hAnsiTheme="majorHAnsi"/>
          <w:sz w:val="32"/>
          <w:szCs w:val="28"/>
        </w:rPr>
        <w:t>ожнах, остриями вниз, накрест».</w:t>
      </w:r>
    </w:p>
    <w:p w:rsidR="00571EC7" w:rsidRPr="002C24B2" w:rsidRDefault="00571EC7" w:rsidP="00571EC7">
      <w:pPr>
        <w:spacing w:after="12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 xml:space="preserve">Горная гряда аллегорически показывает расположение района в предгорьях Кавказских гор. Терское казачье войско отражено двумя казачьими шашками в ножнах, что говорит о миролюбии, мужестве и отваге проживающих на территории Предгорного района казаков. Пшеничные колосья олицетворяют не только аграрную хозяйственную ориентацию района и урожай, но и единство муниципальных образований района. Пятнадцать зёрен в колосьях символизируют количество муниципальных </w:t>
      </w:r>
      <w:r w:rsidRPr="002C24B2">
        <w:rPr>
          <w:rFonts w:asciiTheme="majorHAnsi" w:hAnsiTheme="majorHAnsi"/>
          <w:sz w:val="32"/>
          <w:szCs w:val="28"/>
        </w:rPr>
        <w:t>образований (поселений) района.</w:t>
      </w:r>
    </w:p>
    <w:p w:rsidR="00873F89" w:rsidRPr="002C24B2" w:rsidRDefault="00571EC7" w:rsidP="00571EC7">
      <w:pPr>
        <w:spacing w:after="12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>Флаг муниципального образования «представляет собой прямоугольное полотнище с соотношением сторон 2:3, воспроизводящее композицию герба в красном, белом и синем цветах».</w:t>
      </w:r>
    </w:p>
    <w:p w:rsid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</w:p>
    <w:p w:rsid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</w:p>
    <w:p w:rsid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</w:p>
    <w:p w:rsid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28"/>
          <w:szCs w:val="28"/>
        </w:rPr>
      </w:pPr>
    </w:p>
    <w:p w:rsidR="002C24B2" w:rsidRPr="002C24B2" w:rsidRDefault="002C24B2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i/>
          <w:sz w:val="28"/>
          <w:szCs w:val="28"/>
          <w:u w:val="single"/>
        </w:rPr>
      </w:pPr>
      <w:proofErr w:type="spellStart"/>
      <w:r w:rsidRPr="002C24B2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Скребцова</w:t>
      </w:r>
      <w:proofErr w:type="spellEnd"/>
      <w:r w:rsidRPr="002C24B2">
        <w:rPr>
          <w:rFonts w:asciiTheme="majorHAnsi" w:hAnsiTheme="majorHAnsi" w:cs="Arial"/>
          <w:i/>
          <w:sz w:val="28"/>
          <w:szCs w:val="28"/>
          <w:u w:val="single"/>
        </w:rPr>
        <w:t xml:space="preserve"> Д.</w:t>
      </w:r>
    </w:p>
    <w:p w:rsidR="00571EC7" w:rsidRPr="002C24B2" w:rsidRDefault="00571EC7" w:rsidP="00571EC7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Theme="majorHAnsi" w:hAnsiTheme="majorHAnsi" w:cs="Arial"/>
          <w:b w:val="0"/>
          <w:bCs w:val="0"/>
          <w:sz w:val="32"/>
          <w:szCs w:val="28"/>
        </w:rPr>
      </w:pPr>
      <w:r w:rsidRPr="002C24B2">
        <w:rPr>
          <w:rFonts w:asciiTheme="majorHAnsi" w:hAnsiTheme="majorHAnsi" w:cs="Arial"/>
          <w:sz w:val="32"/>
          <w:szCs w:val="28"/>
        </w:rPr>
        <w:t>C 2004 до марта 2020 года в Предгорный муниципальный район входили 15 сельских поселений:</w:t>
      </w:r>
    </w:p>
    <w:p w:rsidR="00571EC7" w:rsidRPr="002C24B2" w:rsidRDefault="00571EC7" w:rsidP="00571EC7">
      <w:pPr>
        <w:pStyle w:val="a3"/>
        <w:shd w:val="clear" w:color="auto" w:fill="FFFFFF"/>
        <w:spacing w:before="0" w:beforeAutospacing="0" w:after="120" w:afterAutospacing="0"/>
        <w:rPr>
          <w:rFonts w:asciiTheme="majorHAnsi" w:hAnsiTheme="majorHAnsi" w:cs="Arial"/>
          <w:sz w:val="32"/>
          <w:szCs w:val="28"/>
        </w:rPr>
      </w:pPr>
      <w:r w:rsidRPr="002C24B2">
        <w:rPr>
          <w:rFonts w:asciiTheme="majorHAnsi" w:hAnsiTheme="majorHAnsi" w:cs="Arial"/>
          <w:sz w:val="32"/>
          <w:szCs w:val="28"/>
        </w:rPr>
        <w:t xml:space="preserve"> 1. Станица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Бекешевская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станица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Бекешевская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 2. Станица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Боргустанская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станица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Боргустанская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 3.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Винсадский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село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Винсады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 4.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Ессентукский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станица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Ессентукская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> 5. Поселок Мирный поселок Мирный</w:t>
      </w:r>
      <w:r w:rsidRPr="002C24B2">
        <w:rPr>
          <w:rFonts w:asciiTheme="majorHAnsi" w:hAnsiTheme="majorHAnsi" w:cs="Arial"/>
          <w:sz w:val="32"/>
          <w:szCs w:val="28"/>
        </w:rPr>
        <w:br/>
        <w:t xml:space="preserve"> 6.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Нежинский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поселок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Нежинский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 7.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Новоблагодарненский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село Новоблагодарное</w:t>
      </w:r>
      <w:r w:rsidRPr="002C24B2">
        <w:rPr>
          <w:rFonts w:asciiTheme="majorHAnsi" w:hAnsiTheme="majorHAnsi" w:cs="Arial"/>
          <w:sz w:val="32"/>
          <w:szCs w:val="28"/>
        </w:rPr>
        <w:br/>
        <w:t xml:space="preserve"> 8.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Подкумский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поселок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Подкумок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 9. Пригородный сельсовет поселок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Железноводский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>10. Пятигорский сельсовет поселок Пятигорский</w:t>
      </w:r>
      <w:r w:rsidRPr="002C24B2">
        <w:rPr>
          <w:rFonts w:asciiTheme="majorHAnsi" w:hAnsiTheme="majorHAnsi" w:cs="Arial"/>
          <w:sz w:val="32"/>
          <w:szCs w:val="28"/>
        </w:rPr>
        <w:br/>
        <w:t>11. Суворовский сельсовет станица Суворовская</w:t>
      </w:r>
      <w:r w:rsidRPr="002C24B2">
        <w:rPr>
          <w:rFonts w:asciiTheme="majorHAnsi" w:hAnsiTheme="majorHAnsi" w:cs="Arial"/>
          <w:sz w:val="32"/>
          <w:szCs w:val="28"/>
        </w:rPr>
        <w:br/>
        <w:t xml:space="preserve">12.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Тельмановский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поселок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Санамер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13.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Этокский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село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Этока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 xml:space="preserve">14.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Юцкий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t xml:space="preserve"> сельсовет село </w:t>
      </w:r>
      <w:proofErr w:type="spellStart"/>
      <w:r w:rsidRPr="002C24B2">
        <w:rPr>
          <w:rFonts w:asciiTheme="majorHAnsi" w:hAnsiTheme="majorHAnsi" w:cs="Arial"/>
          <w:sz w:val="32"/>
          <w:szCs w:val="28"/>
        </w:rPr>
        <w:t>Юца</w:t>
      </w:r>
      <w:proofErr w:type="spellEnd"/>
      <w:r w:rsidRPr="002C24B2">
        <w:rPr>
          <w:rFonts w:asciiTheme="majorHAnsi" w:hAnsiTheme="majorHAnsi" w:cs="Arial"/>
          <w:sz w:val="32"/>
          <w:szCs w:val="28"/>
        </w:rPr>
        <w:br/>
        <w:t>15. Яснополянский сельсовет поселок Ясная Поляна</w:t>
      </w:r>
    </w:p>
    <w:p w:rsidR="00571EC7" w:rsidRPr="002C24B2" w:rsidRDefault="00571EC7" w:rsidP="00571EC7">
      <w:pPr>
        <w:pStyle w:val="a3"/>
        <w:shd w:val="clear" w:color="auto" w:fill="FFFFFF"/>
        <w:spacing w:after="0" w:afterAutospacing="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 xml:space="preserve">С июня 2020 года в состав территории района и соответствующего муниципального округа входят 42 </w:t>
      </w:r>
      <w:proofErr w:type="gramStart"/>
      <w:r w:rsidRPr="002C24B2">
        <w:rPr>
          <w:rFonts w:asciiTheme="majorHAnsi" w:hAnsiTheme="majorHAnsi"/>
          <w:sz w:val="32"/>
          <w:szCs w:val="28"/>
        </w:rPr>
        <w:t>населённых</w:t>
      </w:r>
      <w:proofErr w:type="gramEnd"/>
      <w:r w:rsidRPr="002C24B2">
        <w:rPr>
          <w:rFonts w:asciiTheme="majorHAnsi" w:hAnsiTheme="majorHAnsi"/>
          <w:sz w:val="32"/>
          <w:szCs w:val="28"/>
        </w:rPr>
        <w:t xml:space="preserve"> пункта.</w:t>
      </w:r>
    </w:p>
    <w:p w:rsidR="00571EC7" w:rsidRDefault="00571EC7" w:rsidP="00571EC7">
      <w:pPr>
        <w:pStyle w:val="a3"/>
        <w:shd w:val="clear" w:color="auto" w:fill="FFFFFF"/>
        <w:spacing w:after="0" w:afterAutospacing="0"/>
        <w:rPr>
          <w:rFonts w:asciiTheme="majorHAnsi" w:hAnsiTheme="majorHAnsi"/>
          <w:sz w:val="32"/>
          <w:szCs w:val="28"/>
        </w:rPr>
      </w:pPr>
      <w:r w:rsidRPr="002C24B2">
        <w:rPr>
          <w:rFonts w:asciiTheme="majorHAnsi" w:hAnsiTheme="majorHAnsi"/>
          <w:sz w:val="32"/>
          <w:szCs w:val="28"/>
        </w:rPr>
        <w:t xml:space="preserve">В июне 2020 года в состав города-курорта Кисловодска были переданы населённые пункты Предгорного района (муниципального округа) посёлки Высокогорный, </w:t>
      </w:r>
      <w:proofErr w:type="spellStart"/>
      <w:r w:rsidRPr="002C24B2">
        <w:rPr>
          <w:rFonts w:asciiTheme="majorHAnsi" w:hAnsiTheme="majorHAnsi"/>
          <w:sz w:val="32"/>
          <w:szCs w:val="28"/>
        </w:rPr>
        <w:t>Левоберёзовский</w:t>
      </w:r>
      <w:proofErr w:type="spellEnd"/>
      <w:r w:rsidRPr="002C24B2">
        <w:rPr>
          <w:rFonts w:asciiTheme="majorHAnsi" w:hAnsiTheme="majorHAnsi"/>
          <w:sz w:val="32"/>
          <w:szCs w:val="28"/>
        </w:rPr>
        <w:t xml:space="preserve"> и </w:t>
      </w:r>
      <w:proofErr w:type="spellStart"/>
      <w:r w:rsidRPr="002C24B2">
        <w:rPr>
          <w:rFonts w:asciiTheme="majorHAnsi" w:hAnsiTheme="majorHAnsi"/>
          <w:sz w:val="32"/>
          <w:szCs w:val="28"/>
        </w:rPr>
        <w:t>Правоберёзовский</w:t>
      </w:r>
      <w:proofErr w:type="spellEnd"/>
      <w:r w:rsidRPr="002C24B2">
        <w:rPr>
          <w:rFonts w:asciiTheme="majorHAnsi" w:hAnsiTheme="majorHAnsi"/>
          <w:sz w:val="32"/>
          <w:szCs w:val="28"/>
        </w:rPr>
        <w:t>.</w:t>
      </w:r>
    </w:p>
    <w:p w:rsidR="002C24B2" w:rsidRDefault="002C24B2" w:rsidP="00571EC7">
      <w:pPr>
        <w:pStyle w:val="a3"/>
        <w:shd w:val="clear" w:color="auto" w:fill="FFFFFF"/>
        <w:spacing w:after="0" w:afterAutospacing="0"/>
        <w:rPr>
          <w:rFonts w:asciiTheme="majorHAnsi" w:hAnsiTheme="majorHAnsi"/>
          <w:sz w:val="32"/>
          <w:szCs w:val="28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</w:pP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bookmarkStart w:id="0" w:name="_GoBack"/>
      <w:bookmarkEnd w:id="0"/>
      <w:r w:rsidRPr="002C24B2">
        <w:rPr>
          <w:rFonts w:asciiTheme="majorHAnsi" w:eastAsia="Times New Roman" w:hAnsiTheme="majorHAnsi" w:cs="Times New Roman"/>
          <w:i/>
          <w:sz w:val="32"/>
          <w:u w:val="single"/>
          <w:lang w:eastAsia="ru-RU"/>
        </w:rPr>
        <w:lastRenderedPageBreak/>
        <w:t>Виталий Волошин</w:t>
      </w:r>
      <w:r w:rsidRPr="002C24B2">
        <w:rPr>
          <w:rFonts w:asciiTheme="majorHAnsi" w:eastAsia="Times New Roman" w:hAnsiTheme="majorHAnsi" w:cs="Times New Roman"/>
          <w:sz w:val="32"/>
          <w:lang w:eastAsia="ru-RU"/>
        </w:rPr>
        <w:br/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 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Я живу на Ставрополье,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Где степей больших раздолье,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Где громада гор зелёных 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Смотрят в небо удивлённо.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Где целебная водица-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>Можно всем нам вот напиться,</w:t>
      </w:r>
    </w:p>
    <w:p w:rsidR="002C24B2" w:rsidRP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 xml:space="preserve">Я люблю свой край родной </w:t>
      </w:r>
    </w:p>
    <w:p w:rsidR="002C24B2" w:rsidRDefault="002C24B2" w:rsidP="002C24B2">
      <w:pPr>
        <w:spacing w:after="0" w:line="240" w:lineRule="auto"/>
        <w:rPr>
          <w:rFonts w:asciiTheme="majorHAnsi" w:eastAsia="Times New Roman" w:hAnsiTheme="majorHAnsi" w:cs="Times New Roman"/>
          <w:sz w:val="32"/>
          <w:lang w:eastAsia="ru-RU"/>
        </w:rPr>
      </w:pPr>
      <w:r w:rsidRPr="002C24B2">
        <w:rPr>
          <w:rFonts w:asciiTheme="majorHAnsi" w:eastAsia="Times New Roman" w:hAnsiTheme="majorHAnsi" w:cs="Times New Roman"/>
          <w:sz w:val="32"/>
          <w:lang w:eastAsia="ru-RU"/>
        </w:rPr>
        <w:t xml:space="preserve">Потому что он друг мой! </w:t>
      </w:r>
    </w:p>
    <w:p w:rsidR="002C24B2" w:rsidRPr="002C24B2" w:rsidRDefault="002C24B2" w:rsidP="002C24B2">
      <w:pPr>
        <w:spacing w:after="0" w:line="240" w:lineRule="auto"/>
        <w:jc w:val="right"/>
        <w:rPr>
          <w:rFonts w:asciiTheme="majorHAnsi" w:eastAsia="Times New Roman" w:hAnsiTheme="majorHAnsi" w:cs="Times New Roman"/>
          <w:sz w:val="28"/>
          <w:lang w:eastAsia="ru-RU"/>
        </w:rPr>
      </w:pPr>
      <w:r w:rsidRPr="002C24B2">
        <w:rPr>
          <w:rFonts w:asciiTheme="majorHAnsi" w:eastAsia="Times New Roman" w:hAnsiTheme="majorHAnsi" w:cs="Times New Roman"/>
          <w:sz w:val="28"/>
          <w:lang w:eastAsia="ru-RU"/>
        </w:rPr>
        <w:t xml:space="preserve">автор: Саша </w:t>
      </w:r>
      <w:proofErr w:type="spellStart"/>
      <w:r w:rsidRPr="002C24B2">
        <w:rPr>
          <w:rFonts w:asciiTheme="majorHAnsi" w:eastAsia="Times New Roman" w:hAnsiTheme="majorHAnsi" w:cs="Times New Roman"/>
          <w:sz w:val="28"/>
          <w:lang w:eastAsia="ru-RU"/>
        </w:rPr>
        <w:t>Гревцев</w:t>
      </w:r>
      <w:proofErr w:type="spellEnd"/>
    </w:p>
    <w:p w:rsidR="002C24B2" w:rsidRPr="002C24B2" w:rsidRDefault="002C24B2" w:rsidP="00571EC7">
      <w:pPr>
        <w:pStyle w:val="a3"/>
        <w:shd w:val="clear" w:color="auto" w:fill="FFFFFF"/>
        <w:spacing w:after="0" w:afterAutospacing="0"/>
        <w:rPr>
          <w:rFonts w:asciiTheme="majorHAnsi" w:hAnsiTheme="majorHAnsi"/>
          <w:sz w:val="32"/>
          <w:szCs w:val="28"/>
        </w:rPr>
      </w:pPr>
    </w:p>
    <w:p w:rsidR="00571EC7" w:rsidRPr="00571EC7" w:rsidRDefault="00571EC7" w:rsidP="00571EC7">
      <w:pPr>
        <w:rPr>
          <w:rFonts w:asciiTheme="majorHAnsi" w:hAnsiTheme="majorHAnsi"/>
          <w:sz w:val="28"/>
          <w:szCs w:val="28"/>
        </w:rPr>
      </w:pPr>
    </w:p>
    <w:sectPr w:rsidR="00571EC7" w:rsidRPr="0057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E06F0"/>
    <w:multiLevelType w:val="hybridMultilevel"/>
    <w:tmpl w:val="6ECA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3556B"/>
    <w:multiLevelType w:val="hybridMultilevel"/>
    <w:tmpl w:val="6E2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C7"/>
    <w:rsid w:val="002C24B2"/>
    <w:rsid w:val="00571EC7"/>
    <w:rsid w:val="0087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EC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E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2021-10-11T16:40:00Z</dcterms:created>
  <dcterms:modified xsi:type="dcterms:W3CDTF">2021-10-11T17:00:00Z</dcterms:modified>
</cp:coreProperties>
</file>